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Theme="minorHAnsi"/>
          <w:b/>
          <w:sz w:val="24"/>
          <w:szCs w:val="24"/>
        </w:rPr>
      </w:pPr>
      <w:r>
        <w:rPr>
          <w:rFonts w:ascii="Times New Roman" w:hAnsi="Times New Roman" w:eastAsiaTheme="minorHAnsi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Theme="minorHAnsi"/>
          <w:b/>
          <w:sz w:val="24"/>
          <w:szCs w:val="24"/>
        </w:rPr>
      </w:pPr>
      <w:r>
        <w:rPr>
          <w:rFonts w:ascii="Times New Roman" w:hAnsi="Times New Roman" w:eastAsiaTheme="minorHAnsi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Theme="minorHAnsi"/>
          <w:b/>
          <w:sz w:val="24"/>
          <w:szCs w:val="24"/>
        </w:rPr>
      </w:pPr>
      <w:r>
        <w:rPr>
          <w:rFonts w:ascii="Times New Roman" w:hAnsi="Times New Roman" w:eastAsiaTheme="minorHAnsi"/>
          <w:b/>
          <w:sz w:val="24"/>
          <w:szCs w:val="24"/>
        </w:rPr>
        <w:t xml:space="preserve">Паспорт</w:t>
      </w:r>
      <w:r>
        <w:rPr>
          <w:rFonts w:ascii="Times New Roman" w:hAnsi="Times New Roman" w:eastAsiaTheme="minorHAnsi"/>
          <w:b/>
          <w:sz w:val="24"/>
          <w:szCs w:val="24"/>
        </w:rPr>
        <w:t xml:space="preserve"> </w:t>
      </w:r>
      <w:r>
        <w:rPr>
          <w:rFonts w:ascii="Times New Roman" w:hAnsi="Times New Roman" w:eastAsiaTheme="minorHAnsi"/>
          <w:b/>
          <w:sz w:val="24"/>
          <w:szCs w:val="24"/>
        </w:rPr>
        <w:t xml:space="preserve">проекта</w:t>
      </w:r>
      <w:r>
        <w:rPr>
          <w:rFonts w:ascii="Times New Roman" w:hAnsi="Times New Roman" w:eastAsiaTheme="minorHAnsi"/>
          <w:b/>
          <w:sz w:val="24"/>
          <w:szCs w:val="24"/>
        </w:rPr>
        <w:t xml:space="preserve"> </w:t>
      </w:r>
      <w:r>
        <w:rPr>
          <w:rFonts w:ascii="Times New Roman" w:hAnsi="Times New Roman" w:eastAsiaTheme="minorHAnsi"/>
          <w:b/>
          <w:bCs/>
          <w:sz w:val="24"/>
          <w:szCs w:val="24"/>
        </w:rPr>
        <w:t xml:space="preserve">«ВМЕСТЕ С ПАПОЙ»</w:t>
      </w:r>
      <w:r>
        <w:rPr>
          <w:rFonts w:ascii="Times New Roman" w:hAnsi="Times New Roman" w:eastAsiaTheme="minorHAnsi"/>
          <w:b/>
          <w:sz w:val="24"/>
          <w:szCs w:val="24"/>
        </w:rPr>
        <w:t xml:space="preserve"> </w:t>
      </w:r>
      <w:r/>
    </w:p>
    <w:p>
      <w:pPr>
        <w:jc w:val="center"/>
        <w:spacing w:after="0" w:line="240" w:lineRule="auto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 </w:t>
      </w:r>
      <w:r/>
    </w:p>
    <w:tbl>
      <w:tblPr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6"/>
        <w:gridCol w:w="3170"/>
        <w:gridCol w:w="6520"/>
      </w:tblGrid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Cs/>
                <w:sz w:val="24"/>
                <w:szCs w:val="24"/>
              </w:rPr>
              <w:t xml:space="preserve">1.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Cs/>
                <w:sz w:val="24"/>
                <w:szCs w:val="24"/>
              </w:rPr>
              <w:t xml:space="preserve">Наименование проекта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Cs/>
                <w:sz w:val="24"/>
                <w:szCs w:val="24"/>
              </w:rPr>
              <w:t xml:space="preserve">Открытая досуговая площадка выходного дня «Вместе с папой» как средство организации развивающего </w:t>
            </w:r>
            <w:r>
              <w:rPr>
                <w:rFonts w:ascii="Times New Roman" w:hAnsi="Times New Roman" w:eastAsiaTheme="minorHAnsi"/>
                <w:bCs/>
                <w:sz w:val="24"/>
                <w:szCs w:val="24"/>
              </w:rPr>
              <w:t xml:space="preserve">родительско</w:t>
            </w:r>
            <w:r>
              <w:rPr>
                <w:rFonts w:ascii="Times New Roman" w:hAnsi="Times New Roman" w:eastAsiaTheme="minorHAnsi"/>
                <w:bCs/>
                <w:sz w:val="24"/>
                <w:szCs w:val="24"/>
              </w:rPr>
              <w:t xml:space="preserve">-детского досуга («ВМЕСТЕ С ПАПОЙ»)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Cs/>
                <w:sz w:val="24"/>
                <w:szCs w:val="24"/>
              </w:rPr>
              <w:t xml:space="preserve">2.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Cs/>
                <w:sz w:val="24"/>
                <w:szCs w:val="24"/>
              </w:rPr>
              <w:t xml:space="preserve">Наименование портфеля проектов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Cs/>
                <w:sz w:val="24"/>
                <w:szCs w:val="24"/>
              </w:rPr>
              <w:t xml:space="preserve">Преобразование воспитательной системы в территорию успеха детей и социальной ответственности личности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Cs/>
                <w:sz w:val="24"/>
                <w:szCs w:val="24"/>
              </w:rPr>
              <w:t xml:space="preserve">3.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Cs/>
                <w:sz w:val="24"/>
                <w:szCs w:val="24"/>
              </w:rPr>
              <w:t xml:space="preserve">Руководител</w:t>
            </w:r>
            <w:r>
              <w:rPr>
                <w:rFonts w:ascii="Times New Roman" w:hAnsi="Times New Roman" w:eastAsiaTheme="minorHAnsi"/>
                <w:bCs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Theme="minorHAnsi"/>
                <w:bCs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 w:eastAsiaTheme="minorHAnsi"/>
                <w:bCs/>
                <w:sz w:val="24"/>
                <w:szCs w:val="24"/>
              </w:rPr>
              <w:t xml:space="preserve"> (МОО)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Cs/>
                <w:sz w:val="24"/>
                <w:szCs w:val="24"/>
              </w:rPr>
              <w:t xml:space="preserve">Ахмадеева</w:t>
            </w:r>
            <w:r>
              <w:rPr>
                <w:rFonts w:ascii="Times New Roman" w:hAnsi="Times New Roman" w:eastAsiaTheme="minorHAnsi"/>
                <w:bCs/>
                <w:sz w:val="24"/>
                <w:szCs w:val="24"/>
              </w:rPr>
              <w:t xml:space="preserve"> Марина Сергеевна, методист МОУ ДО «Центр детского творчества»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Участники проекта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(обучающиеся, родители, педагоги)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Обучающиеся образовательных организаций города Надыма в возрасте от 7 до 12 лет и их папы, педагогические работники Центра детского творчества, социальные партнеры (организации, предприятия)</w:t>
            </w:r>
            <w:r/>
          </w:p>
        </w:tc>
      </w:tr>
      <w:tr>
        <w:trPr>
          <w:trHeight w:val="88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Проблема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Дефицит времени на воспитание и внутрисемейное общение, большая включенность женщины в производственную деятельность и ее двойная нагрузка – на работе и в семье.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Родители теряют навык общения с ребенком – попросту не знают, что с ним делать и, «открещиваясь» от родного чада, засаживают его за гаджеты: телефоны, планшеты, компьютеры, приставки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Theme="minorHAnsi"/>
                <w:bCs/>
                <w:sz w:val="24"/>
                <w:szCs w:val="24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Цель проекта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Гармонизация внутрисемейных детско-родительских отношений через организацию совместного активного развивающего досуга в рамках функционирования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открытой площадки выходного дня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Cs/>
                <w:sz w:val="24"/>
                <w:szCs w:val="24"/>
              </w:rPr>
              <w:t xml:space="preserve">7.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Cs/>
                <w:sz w:val="24"/>
                <w:szCs w:val="24"/>
              </w:rPr>
              <w:t xml:space="preserve">Задачи проекта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0" w:type="dxa"/>
            <w:textDirection w:val="lrTb"/>
            <w:noWrap w:val="false"/>
          </w:tcPr>
          <w:p>
            <w:pPr>
              <w:pStyle w:val="626"/>
              <w:numPr>
                <w:ilvl w:val="0"/>
                <w:numId w:val="2"/>
              </w:numPr>
              <w:ind w:left="315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Создать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модель сетевой воспитательной среды - открытая досуговая площадка выходного дня «Вместе с папой».</w:t>
            </w:r>
            <w:r/>
          </w:p>
          <w:p>
            <w:pPr>
              <w:pStyle w:val="626"/>
              <w:numPr>
                <w:ilvl w:val="0"/>
                <w:numId w:val="2"/>
              </w:numPr>
              <w:ind w:left="315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Организовать развивающий досуг с использованием ресурсов Центра детского творчества и социальных партнёров.</w:t>
            </w:r>
            <w:r/>
          </w:p>
          <w:p>
            <w:pPr>
              <w:pStyle w:val="626"/>
              <w:numPr>
                <w:ilvl w:val="0"/>
                <w:numId w:val="2"/>
              </w:numPr>
              <w:ind w:left="315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Обеспечить качественные изменения внутрисемейных детско-родительских отношений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8.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Cs/>
                <w:sz w:val="24"/>
                <w:szCs w:val="24"/>
              </w:rPr>
              <w:t xml:space="preserve">Сроки реализации проекта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Май 2018 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ода –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май 2019 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ода, далее ежегодно</w:t>
            </w:r>
            <w:r/>
          </w:p>
        </w:tc>
      </w:tr>
      <w:tr>
        <w:trPr>
          <w:trHeight w:val="27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9.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Ключевые мероприятия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0" w:type="dxa"/>
            <w:textDirection w:val="lrTb"/>
            <w:noWrap w:val="false"/>
          </w:tcPr>
          <w:p>
            <w:pPr>
              <w:pStyle w:val="626"/>
              <w:numPr>
                <w:ilvl w:val="0"/>
                <w:numId w:val="3"/>
              </w:numPr>
              <w:ind w:left="317" w:hanging="28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en-US" w:eastAsia="ru-RU"/>
              </w:rPr>
              <w:t xml:space="preserve">PR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 кампания по реализации проекта с целью привлечения родительской общественности,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постоянно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;</w:t>
            </w:r>
            <w:r/>
          </w:p>
          <w:p>
            <w:pPr>
              <w:pStyle w:val="626"/>
              <w:numPr>
                <w:ilvl w:val="0"/>
                <w:numId w:val="3"/>
              </w:numPr>
              <w:ind w:left="317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аключение договоров с социальными партнерами, май-октябрь 2018 года;</w:t>
            </w:r>
            <w:r/>
          </w:p>
          <w:p>
            <w:pPr>
              <w:pStyle w:val="626"/>
              <w:numPr>
                <w:ilvl w:val="0"/>
                <w:numId w:val="3"/>
              </w:numPr>
              <w:ind w:left="317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рганизация и проведение «полезных экскурсий», «полезных занятий», «полезного досуга» на базе предприятий и организаций города, октябрь 2018 года - март 2019 года;</w:t>
            </w:r>
            <w:r/>
          </w:p>
          <w:p>
            <w:pPr>
              <w:pStyle w:val="626"/>
              <w:numPr>
                <w:ilvl w:val="0"/>
                <w:numId w:val="3"/>
              </w:numPr>
              <w:ind w:left="317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курсы повышения квалификации для педагогических работников по применению современных воспитательных технологий в организации и проведении развивающего досуга, ноябрь-декабрь 2018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 года;</w:t>
            </w:r>
            <w:r/>
          </w:p>
          <w:p>
            <w:pPr>
              <w:pStyle w:val="626"/>
              <w:numPr>
                <w:ilvl w:val="0"/>
                <w:numId w:val="3"/>
              </w:numPr>
              <w:ind w:left="317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роведение психологом входной и итоговой диагностики по выявлению уровня изменений внутрисемейных отношений, ноя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брь 2018 года, апрель 2019 года.</w:t>
            </w:r>
            <w:r/>
          </w:p>
        </w:tc>
      </w:tr>
      <w:tr>
        <w:trPr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Образ конечного продукта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Модель сетевой воспитательной среды - открытая досуговая площадка выходного дня «Вместе с папой».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Новый опыт социального взаимодействия между Центром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детского творчества и предприятиями, и организациями города.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Cs/>
                <w:sz w:val="24"/>
                <w:szCs w:val="24"/>
              </w:rPr>
              <w:t xml:space="preserve">11.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Cs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оказатели эффективности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0" w:type="dxa"/>
            <w:textDirection w:val="lrTb"/>
            <w:noWrap w:val="false"/>
          </w:tcPr>
          <w:p>
            <w:pPr>
              <w:pStyle w:val="626"/>
              <w:numPr>
                <w:ilvl w:val="0"/>
                <w:numId w:val="3"/>
              </w:numPr>
              <w:ind w:left="317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Число организаций, являющихся базой для реализации проектных мероприятий, в ед. – 8;</w:t>
            </w:r>
            <w:r/>
          </w:p>
          <w:p>
            <w:pPr>
              <w:pStyle w:val="626"/>
              <w:numPr>
                <w:ilvl w:val="0"/>
                <w:numId w:val="3"/>
              </w:numPr>
              <w:ind w:left="317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количество/доля педагоги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ческих работников, прошедших курсы повышения квалификации по применению современных воспитательных технологий в организации и проведении развивающего досуга в общей численности педагогических работников, привлеченных к реализации проекта, в ед./ % – 13/100</w:t>
            </w:r>
            <w:r/>
          </w:p>
          <w:p>
            <w:pPr>
              <w:pStyle w:val="626"/>
              <w:numPr>
                <w:ilvl w:val="0"/>
                <w:numId w:val="3"/>
              </w:numPr>
              <w:ind w:left="317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количество семей, участвующих в реализации проекта, чел. – 16;</w:t>
            </w:r>
            <w:r/>
          </w:p>
          <w:p>
            <w:pPr>
              <w:pStyle w:val="626"/>
              <w:numPr>
                <w:ilvl w:val="0"/>
                <w:numId w:val="3"/>
              </w:numPr>
              <w:ind w:left="317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довлетворенность родителей и детей качеством проведенных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мероприятий,%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 – 100;</w:t>
            </w:r>
            <w:r/>
          </w:p>
          <w:p>
            <w:pPr>
              <w:pStyle w:val="626"/>
              <w:numPr>
                <w:ilvl w:val="0"/>
                <w:numId w:val="3"/>
              </w:numPr>
              <w:ind w:left="317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Положительная динамика изменений детско-родительских отношений,% – 100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Cs/>
                <w:sz w:val="24"/>
                <w:szCs w:val="24"/>
              </w:rPr>
              <w:t xml:space="preserve">12.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Cs/>
                <w:sz w:val="24"/>
                <w:szCs w:val="24"/>
              </w:rPr>
              <w:t xml:space="preserve">Диссеминация опыта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84" w:leader="none"/>
                <w:tab w:val="left" w:pos="317" w:leader="none"/>
                <w:tab w:val="left" w:pos="993" w:leader="none"/>
              </w:tabs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публикаций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о реализации ключевых мероприятий проекта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 печатных и электронных СМИ, периодических, методических изданиях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</w:t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567" w:right="567" w:bottom="426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22"/>
    <w:next w:val="62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2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22"/>
    <w:next w:val="62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2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22"/>
    <w:next w:val="62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2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22"/>
    <w:next w:val="62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2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22"/>
    <w:next w:val="62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2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22"/>
    <w:next w:val="62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2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22"/>
    <w:next w:val="62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2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22"/>
    <w:next w:val="62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2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22"/>
    <w:next w:val="62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2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22"/>
    <w:next w:val="62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23"/>
    <w:link w:val="33"/>
    <w:uiPriority w:val="10"/>
    <w:rPr>
      <w:sz w:val="48"/>
      <w:szCs w:val="48"/>
    </w:rPr>
  </w:style>
  <w:style w:type="paragraph" w:styleId="35">
    <w:name w:val="Subtitle"/>
    <w:basedOn w:val="622"/>
    <w:next w:val="62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23"/>
    <w:link w:val="35"/>
    <w:uiPriority w:val="11"/>
    <w:rPr>
      <w:sz w:val="24"/>
      <w:szCs w:val="24"/>
    </w:rPr>
  </w:style>
  <w:style w:type="paragraph" w:styleId="37">
    <w:name w:val="Quote"/>
    <w:basedOn w:val="622"/>
    <w:next w:val="62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22"/>
    <w:next w:val="62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2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23"/>
    <w:link w:val="41"/>
    <w:uiPriority w:val="99"/>
  </w:style>
  <w:style w:type="paragraph" w:styleId="43">
    <w:name w:val="Footer"/>
    <w:basedOn w:val="62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23"/>
    <w:link w:val="43"/>
    <w:uiPriority w:val="99"/>
  </w:style>
  <w:style w:type="paragraph" w:styleId="45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2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2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23"/>
    <w:uiPriority w:val="99"/>
    <w:unhideWhenUsed/>
    <w:rPr>
      <w:vertAlign w:val="superscript"/>
    </w:rPr>
  </w:style>
  <w:style w:type="paragraph" w:styleId="177">
    <w:name w:val="endnote text"/>
    <w:basedOn w:val="62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23"/>
    <w:uiPriority w:val="99"/>
    <w:semiHidden/>
    <w:unhideWhenUsed/>
    <w:rPr>
      <w:vertAlign w:val="superscript"/>
    </w:rPr>
  </w:style>
  <w:style w:type="paragraph" w:styleId="180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qFormat/>
    <w:rPr>
      <w:rFonts w:ascii="Calibri" w:hAnsi="Calibri" w:eastAsia="Calibri" w:cs="Times New Roman"/>
    </w:rPr>
  </w:style>
  <w:style w:type="character" w:styleId="623" w:default="1">
    <w:name w:val="Default Paragraph Font"/>
    <w:uiPriority w:val="1"/>
    <w:semiHidden/>
    <w:unhideWhenUsed/>
  </w:style>
  <w:style w:type="table" w:styleId="6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5" w:default="1">
    <w:name w:val="No List"/>
    <w:uiPriority w:val="99"/>
    <w:semiHidden/>
    <w:unhideWhenUsed/>
  </w:style>
  <w:style w:type="paragraph" w:styleId="626">
    <w:name w:val="List Paragraph"/>
    <w:basedOn w:val="622"/>
    <w:uiPriority w:val="26"/>
    <w:qFormat/>
    <w:pPr>
      <w:contextualSpacing/>
      <w:ind w:left="720"/>
    </w:pPr>
  </w:style>
  <w:style w:type="paragraph" w:styleId="627">
    <w:name w:val="Normal (Web)"/>
    <w:basedOn w:val="62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28">
    <w:name w:val="Balloon Text"/>
    <w:basedOn w:val="622"/>
    <w:link w:val="62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9" w:customStyle="1">
    <w:name w:val="Текст выноски Знак"/>
    <w:basedOn w:val="623"/>
    <w:link w:val="628"/>
    <w:uiPriority w:val="99"/>
    <w:semiHidden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Ф. Целищева</dc:creator>
  <cp:revision>16</cp:revision>
  <dcterms:created xsi:type="dcterms:W3CDTF">2018-11-01T04:51:00Z</dcterms:created>
  <dcterms:modified xsi:type="dcterms:W3CDTF">2023-01-30T09:59:56Z</dcterms:modified>
</cp:coreProperties>
</file>